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44B6FC48" w14:textId="02172EB8" w:rsidR="007A3A31" w:rsidRDefault="00F816C7" w:rsidP="007A3A3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7A3A31" w:rsidRPr="007A3A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Запорожского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End w:id="2"/>
      <w:bookmarkEnd w:id="3"/>
      <w:bookmarkEnd w:id="0"/>
      <w:r w:rsidR="007A3A31" w:rsidRPr="007A3A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VIII</w:t>
      </w:r>
      <w:r w:rsidR="007A3A31" w:rsidRPr="007A3A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сессии Совета Запорожского сельского поселения Темрюкского района </w:t>
      </w:r>
      <w:r w:rsidR="007A3A31" w:rsidRPr="007A3A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II</w:t>
      </w:r>
      <w:r w:rsidR="007A3A31" w:rsidRPr="007A3A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созыва от 22 января 2010 г.</w:t>
      </w:r>
      <w:r w:rsidR="007A3A31" w:rsidRPr="007A3A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  <w:t>№ 35 «Об утверждении Правил землепользования и застройки Запорожского сельского поселения Темрюкского района Краснодарского края»</w:t>
      </w:r>
    </w:p>
    <w:p w14:paraId="7BE4D5CD" w14:textId="2AEEC5B4" w:rsidR="00F816C7" w:rsidRPr="007A3A31" w:rsidRDefault="00F816C7" w:rsidP="007A3A31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7A3A31" w:rsidRPr="007A3A3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Запорожского </w:t>
      </w:r>
      <w:r w:rsidR="00ED21B7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сельского поселения Темрюкского района Краснодарского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края, утвержденные </w:t>
      </w:r>
      <w:r w:rsidR="00ED21B7"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r w:rsidR="007A3A31" w:rsidRPr="007A3A3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VIII</w:t>
      </w:r>
      <w:r w:rsidR="007A3A31" w:rsidRPr="007A3A3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сессии Совета Запорожского сельского поселения Темрюкского района </w:t>
      </w:r>
      <w:r w:rsidR="007A3A31" w:rsidRPr="007A3A3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II</w:t>
      </w:r>
      <w:r w:rsidR="007A3A31" w:rsidRPr="007A3A3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созыва от 22 января 2010 г.</w:t>
      </w:r>
      <w:r w:rsidR="007A3A3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7A3A31" w:rsidRPr="007A3A3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№ 35 «Об утверждении Правил землепользования и застройки Запорожского сельского поселения Темрюкского района Краснодарского края»</w:t>
      </w:r>
      <w:r w:rsidR="007A3A3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07A298B8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 часть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«Порядок применения правил землепользования и застройки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и внесения изменений в указанные правила» дополнить статьей 39.1 следующего содержания:</w:t>
      </w:r>
    </w:p>
    <w:p w14:paraId="03C96F7D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«Статья 39.1. Правила перевода жилого помещения в нежилое помещение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и нежилого помещения в жилое помещение</w:t>
      </w:r>
    </w:p>
    <w:p w14:paraId="61C6BB11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035EE8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3C5CBB0E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градостроительного проектирования Запорожского сельского поселения Темрюкского района Краснодарского края.</w:t>
      </w:r>
    </w:p>
    <w:p w14:paraId="4C80DA95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064E5F73" w14:textId="3541A95F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 в части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зоны Ж-1. Зона застройки индивидуальными жилыми домами, Ж-2. Зона застройки средне-малоэтажными жилыми домами, Ж-3. Зона жилой застройки,ОД-1. Зона общественно-делового центра, ОД-2. Зона размещения объектов здравоохранения, ОД-3. Зона размещения объектов образования, ОД-4. Зона размещения объектов религиозного назначения, ОД-6. </w:t>
      </w:r>
      <w:r w:rsidRPr="007A3A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Зона обслуживания и деловой активности при транспортных коридорах и узлах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П-2. Зона предприятий, производств и объектов II класса опасности СЗЗ-500 м, П-3. Зона предприятий, производств и объектов II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 СЗЗ-300 м, П-4. Зона предприятий, производств и объектов I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 СЗЗ-100 м, П-5. Зона предприятий, производств и объектов V класса опасности СЗЗ-50 м, ИТ-1. Зона объектов инженерной инфраструктуры, ИТ-2. Зона объектов автомобильного транспорта, ИТ-3. Зона объектов водного транспорта, Р-1. Зона парков, скверов, бульваров, озеленения общего пользования, Р-2. Зона размещения объектов физкультуры и спорта,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Р-3. Зона пляжей и набережных, Р-4. Зона рыбоводства, СХ-1. Зона сельскохозяйственных угодий, СХ-2. Зона объектов сельскохозяйственного назначения, СХ-2/1. Зона объектов сельскохозяйственного назначения в границах населенного пункта, СХ-3. Зона садоводства, К-1. Зона размещения объектов курортно-рекреационного назначения, К-2. Зона курортного назначения, СН-1. Зона кладбищ, СН-2. Зона размещения военных объектов,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ИВ-1. Зона озеленения специального назначения, ИВ-2. Зона естественных природных ландшафтов и временного неопределенного назначения дополнить следующим содержанием:</w:t>
      </w:r>
    </w:p>
    <w:p w14:paraId="07B05FAD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1453195C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градостроительного проектирования Запорожского сельского поселения Темрюкского района Краснодарского края.</w:t>
      </w:r>
    </w:p>
    <w:p w14:paraId="5300AA06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5B878C95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в части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«Градостроительные регламенты» в зонах СХ-1. Зона сельскохозяйственных угодий, Р-1. Зона парков, скверов, бульваров, озеленения общего пользования, К-1. Зона размещения объектов курортно-рекреационного назначения, К-2. Зона курортного назначения в предельных размерах земельных участков и предельных параметрах разрешенного строительства вида разрешенного использования земельных участков 5.2.1 «Туристическое обслуживание»:</w:t>
      </w:r>
    </w:p>
    <w:p w14:paraId="7A291940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а) абзац третий признать утратившим силу;</w:t>
      </w:r>
    </w:p>
    <w:p w14:paraId="15BAA663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дополнить абзацем:</w:t>
      </w:r>
    </w:p>
    <w:p w14:paraId="348DDA70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«– для образованных земельных участков, в отношении которых осуществлен государственный кадастровый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300 кв. м»;</w:t>
      </w:r>
    </w:p>
    <w:p w14:paraId="4101D68D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4) в часть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 в перечень основных видов разрешенного использования земельных участков территориальной зоны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П-4. Зона предприятий, производств и объектов I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 СЗЗ-100 м, включить вид разрешенного использования земельных участков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1.17 «Питомники», установив следующие  предельные размеры земельных участков и предельные параметры разрешенного строительства: </w:t>
      </w:r>
    </w:p>
    <w:p w14:paraId="7E90AD38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 минимальная/максимальная площадь земельных участков – 300 /1000000 кв.м.</w:t>
      </w:r>
    </w:p>
    <w:p w14:paraId="0F5240EC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 минимальные отступы от границ смежных земельных участков – 3 м,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от фронтальной границы участка – 5 м;</w:t>
      </w:r>
    </w:p>
    <w:p w14:paraId="61914FB6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 максимальное количество этажей зданий – 1 этаж;</w:t>
      </w:r>
    </w:p>
    <w:p w14:paraId="1EABD8E1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 максимальная высота объектов капитального строительства от уровня земли до верха перекрытия последнего этажа (или конька кровли) –  </w:t>
      </w: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не более 15 м; </w:t>
      </w:r>
    </w:p>
    <w:p w14:paraId="41ABE876" w14:textId="77777777" w:rsidR="007A3A31" w:rsidRPr="007A3A31" w:rsidRDefault="007A3A31" w:rsidP="007A3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3A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максимальный процент застройки в границах земельного участка – 30%.</w:t>
      </w:r>
    </w:p>
    <w:p w14:paraId="6F6FCE37" w14:textId="77777777" w:rsidR="00EE77C6" w:rsidRDefault="00EE77C6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FB9BEE" w14:textId="77777777" w:rsidR="00EE77C6" w:rsidRDefault="00EE77C6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0C7597"/>
    <w:rsid w:val="002C7644"/>
    <w:rsid w:val="003075E8"/>
    <w:rsid w:val="004664A1"/>
    <w:rsid w:val="005B4C7C"/>
    <w:rsid w:val="007540E3"/>
    <w:rsid w:val="00765CFC"/>
    <w:rsid w:val="007A3A31"/>
    <w:rsid w:val="007B6A27"/>
    <w:rsid w:val="00847E89"/>
    <w:rsid w:val="008E44B3"/>
    <w:rsid w:val="008F7153"/>
    <w:rsid w:val="00A6767F"/>
    <w:rsid w:val="00B25E0F"/>
    <w:rsid w:val="00BC13BB"/>
    <w:rsid w:val="00BE71BC"/>
    <w:rsid w:val="00CD10DD"/>
    <w:rsid w:val="00D02159"/>
    <w:rsid w:val="00ED21B7"/>
    <w:rsid w:val="00EE77C6"/>
    <w:rsid w:val="00F816C7"/>
    <w:rsid w:val="00F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1120</Words>
  <Characters>6384</Characters>
  <Application>Microsoft Office Word</Application>
  <DocSecurity>0</DocSecurity>
  <Lines>53</Lines>
  <Paragraphs>14</Paragraphs>
  <ScaleCrop>false</ScaleCrop>
  <Company/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11</cp:revision>
  <dcterms:created xsi:type="dcterms:W3CDTF">2024-05-16T07:24:00Z</dcterms:created>
  <dcterms:modified xsi:type="dcterms:W3CDTF">2024-05-16T09:32:00Z</dcterms:modified>
</cp:coreProperties>
</file>